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06CEE" w14:textId="77777777" w:rsidR="00940B5A" w:rsidRDefault="00940B5A" w:rsidP="00940B5A">
      <w:pPr>
        <w:pStyle w:val="Contexto"/>
      </w:pPr>
      <w:r>
        <w:t>1000. Liderança</w:t>
      </w:r>
    </w:p>
    <w:p w14:paraId="2B049406" w14:textId="77777777" w:rsidR="00940B5A" w:rsidRDefault="00940B5A" w:rsidP="00940B5A">
      <w:pPr>
        <w:pStyle w:val="Pgina"/>
      </w:pPr>
      <w:r>
        <w:t>1130. Zelar por princípios de ética e conduta.</w:t>
      </w:r>
    </w:p>
    <w:p w14:paraId="69AF7AA7" w14:textId="77777777" w:rsidR="00940B5A" w:rsidRDefault="00940B5A" w:rsidP="00940B5A">
      <w:pPr>
        <w:pStyle w:val="Questo"/>
      </w:pPr>
      <w:r>
        <w:t>1131. Código de ética e de conduta aplicável aos membros de conselho ou colegiado superior da organização está estabelecido. (</w:t>
      </w:r>
      <w:proofErr w:type="gramStart"/>
      <w:r>
        <w:t>tipo</w:t>
      </w:r>
      <w:proofErr w:type="gramEnd"/>
      <w:r>
        <w:t xml:space="preserve"> A)</w:t>
      </w:r>
    </w:p>
    <w:p w14:paraId="0C0135A8" w14:textId="77777777" w:rsidR="00940B5A" w:rsidRDefault="00940B5A" w:rsidP="00940B5A">
      <w:pPr>
        <w:pStyle w:val="radio"/>
      </w:pPr>
      <w:r>
        <w:t>Não adota</w:t>
      </w:r>
    </w:p>
    <w:p w14:paraId="25743178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759A8E59" w14:textId="77777777" w:rsidR="00940B5A" w:rsidRDefault="00940B5A" w:rsidP="00940B5A">
      <w:pPr>
        <w:pStyle w:val="radio"/>
      </w:pPr>
      <w:r>
        <w:t>Adota em menor parte</w:t>
      </w:r>
    </w:p>
    <w:p w14:paraId="4553F0A8" w14:textId="77777777" w:rsidR="00940B5A" w:rsidRDefault="00940B5A" w:rsidP="00940B5A">
      <w:pPr>
        <w:pStyle w:val="radio"/>
      </w:pPr>
      <w:r>
        <w:t>Adota parcialmente</w:t>
      </w:r>
    </w:p>
    <w:p w14:paraId="40442E7B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2B7E92C" w14:textId="77777777" w:rsidR="00940B5A" w:rsidRDefault="00940B5A" w:rsidP="00940B5A">
      <w:pPr>
        <w:pStyle w:val="radio"/>
      </w:pPr>
      <w:r>
        <w:t>Adota em maior parte ou totalmente</w:t>
      </w:r>
    </w:p>
    <w:p w14:paraId="3478F136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1ECA6F40" w14:textId="77777777" w:rsidR="00940B5A" w:rsidRDefault="00940B5A" w:rsidP="00940B5A">
      <w:pPr>
        <w:pStyle w:val="radio"/>
      </w:pPr>
      <w:r>
        <w:t>Não se aplica</w:t>
      </w:r>
    </w:p>
    <w:p w14:paraId="571A9A6E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32A33FEF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BD882B9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C1BD74F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531FE550" w14:textId="77777777" w:rsidR="00940B5A" w:rsidRDefault="00940B5A" w:rsidP="00940B5A">
      <w:pPr>
        <w:pStyle w:val="radio2"/>
      </w:pPr>
      <w:r>
        <w:t>Não se aplica por outras razões.</w:t>
      </w:r>
    </w:p>
    <w:p w14:paraId="09AD1265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4FA7687C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46034F0" w14:textId="77777777" w:rsidR="00940B5A" w:rsidRDefault="00940B5A" w:rsidP="00940B5A">
      <w:pPr>
        <w:pStyle w:val="itemtipoX"/>
      </w:pPr>
      <w:r>
        <w:t>a) os membros do conselho ou colegiado superior da organização são regidos por código de ética e de conduta a eles aplicável</w:t>
      </w:r>
    </w:p>
    <w:p w14:paraId="59DBB77F" w14:textId="77777777" w:rsidR="00940B5A" w:rsidRDefault="00940B5A" w:rsidP="00940B5A">
      <w:pPr>
        <w:pStyle w:val="itemtipoX"/>
      </w:pPr>
      <w:r>
        <w:t>b) os membros do conselho ou colegiado superior estão sujeitos ao juízo de comissão ou comitê de ética interno ou externo à organização</w:t>
      </w:r>
    </w:p>
    <w:p w14:paraId="5D1B7AF2" w14:textId="77777777" w:rsidR="00940B5A" w:rsidRDefault="00940B5A" w:rsidP="00940B5A">
      <w:pPr>
        <w:pStyle w:val="itemtipoX"/>
      </w:pPr>
      <w:r>
        <w:t>c) estão estabelecidos controles para reduzir a ocorrência de desvios éticos e de conduta por parte de membros do conselho ou colegiado superior</w:t>
      </w:r>
    </w:p>
    <w:p w14:paraId="024880C4" w14:textId="77777777" w:rsidR="00940B5A" w:rsidRDefault="00940B5A" w:rsidP="00940B5A">
      <w:pPr>
        <w:pStyle w:val="itemtipoX"/>
      </w:pPr>
      <w:r>
        <w:t>d) a corregedoria instaurou, nos últimos dois anos, processos para apurar possíveis violações ao código de ética e de conduta por parte de membros do conselho ou colegiado superior</w:t>
      </w:r>
    </w:p>
    <w:p w14:paraId="3280936E" w14:textId="77777777" w:rsidR="00940B5A" w:rsidRDefault="00940B5A" w:rsidP="00940B5A">
      <w:pPr>
        <w:pStyle w:val="itemtipoX"/>
      </w:pPr>
      <w:r>
        <w:t>e) o código de ética e de conduta disciplina o recebimento de presentes por parte dos membros do conselho ou colegiado superior</w:t>
      </w:r>
    </w:p>
    <w:p w14:paraId="09A4AD98" w14:textId="77777777" w:rsidR="00940B5A" w:rsidRDefault="00940B5A" w:rsidP="00940B5A">
      <w:pPr>
        <w:pStyle w:val="itemtipoX"/>
      </w:pPr>
      <w:r>
        <w:t>f) o código de ética e de conduta disciplina a participação em eventos externos por parte dos membros do conselho ou colegiado superior, quando tais eventos são promovidos pelo setor privado</w:t>
      </w:r>
    </w:p>
    <w:p w14:paraId="0DA46767" w14:textId="77777777" w:rsidR="00940B5A" w:rsidRDefault="00940B5A" w:rsidP="00940B5A">
      <w:pPr>
        <w:pStyle w:val="itemtipoX"/>
      </w:pPr>
      <w:r>
        <w:t>g) o código de ética e de conduta aplicável aos membros do conselho ou colegiado superior estabelece padrões para relacionamento com o setor privado (a exemplo de fornecedores ou setor regulado)</w:t>
      </w:r>
    </w:p>
    <w:p w14:paraId="771FA352" w14:textId="77777777" w:rsidR="00940B5A" w:rsidRDefault="00940B5A" w:rsidP="00940B5A">
      <w:pPr>
        <w:pStyle w:val="itemtipoX"/>
      </w:pPr>
      <w:r>
        <w:t>h) existem ações concretas de promoção da ética realizadas pelos membros do conselho ou colegiado superior</w:t>
      </w:r>
    </w:p>
    <w:p w14:paraId="13C976E1" w14:textId="77777777" w:rsidR="00940B5A" w:rsidRDefault="00940B5A" w:rsidP="00940B5A">
      <w:pPr>
        <w:pStyle w:val="glossrio"/>
      </w:pPr>
      <w:r>
        <w:t>Para esclarecimentos nesta questão, consulte, no glossário, os seguintes verbetes: Código de ética e de conduta; Comitê ou comissão de ética; Conselho ou Colegiado Superior; Corregedoria; Estabelecer; Organização.</w:t>
      </w:r>
    </w:p>
    <w:p w14:paraId="32E25368" w14:textId="77777777" w:rsidR="00940B5A" w:rsidRDefault="00940B5A" w:rsidP="00940B5A">
      <w:pPr>
        <w:pStyle w:val="Separador"/>
      </w:pPr>
    </w:p>
    <w:p w14:paraId="2FA68311" w14:textId="77777777" w:rsidR="00940B5A" w:rsidRDefault="00940B5A" w:rsidP="00940B5A">
      <w:pPr>
        <w:pStyle w:val="Questo"/>
      </w:pPr>
      <w:r>
        <w:lastRenderedPageBreak/>
        <w:t>1132. Código de ética e de conduta aplicável aos membros da alta administração da organização está estabelecido. (</w:t>
      </w:r>
      <w:proofErr w:type="gramStart"/>
      <w:r>
        <w:t>tipo</w:t>
      </w:r>
      <w:proofErr w:type="gramEnd"/>
      <w:r>
        <w:t xml:space="preserve"> A)</w:t>
      </w:r>
    </w:p>
    <w:p w14:paraId="21FEE531" w14:textId="77777777" w:rsidR="00940B5A" w:rsidRDefault="00940B5A" w:rsidP="00940B5A">
      <w:pPr>
        <w:pStyle w:val="radio"/>
      </w:pPr>
      <w:r>
        <w:t>Não adota</w:t>
      </w:r>
    </w:p>
    <w:p w14:paraId="4AAB3D40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26599FC9" w14:textId="77777777" w:rsidR="00940B5A" w:rsidRDefault="00940B5A" w:rsidP="00940B5A">
      <w:pPr>
        <w:pStyle w:val="radio"/>
      </w:pPr>
      <w:r>
        <w:t>Adota em menor parte</w:t>
      </w:r>
    </w:p>
    <w:p w14:paraId="5753AC33" w14:textId="77777777" w:rsidR="00940B5A" w:rsidRDefault="00940B5A" w:rsidP="00940B5A">
      <w:pPr>
        <w:pStyle w:val="radio"/>
      </w:pPr>
      <w:r>
        <w:t>Adota parcialmente</w:t>
      </w:r>
    </w:p>
    <w:p w14:paraId="4001F3A0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25EC0576" w14:textId="77777777" w:rsidR="00940B5A" w:rsidRDefault="00940B5A" w:rsidP="00940B5A">
      <w:pPr>
        <w:pStyle w:val="radio"/>
      </w:pPr>
      <w:r>
        <w:t>Adota em maior parte ou totalmente</w:t>
      </w:r>
    </w:p>
    <w:p w14:paraId="6A9A4C84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C765D30" w14:textId="77777777" w:rsidR="00940B5A" w:rsidRDefault="00940B5A" w:rsidP="00940B5A">
      <w:pPr>
        <w:pStyle w:val="radio"/>
      </w:pPr>
      <w:r>
        <w:t>Não se aplica</w:t>
      </w:r>
    </w:p>
    <w:p w14:paraId="23E1D03C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28FE4073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3CFB4D86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0FD9EE0A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68DBFBD" w14:textId="77777777" w:rsidR="00940B5A" w:rsidRDefault="00940B5A" w:rsidP="00940B5A">
      <w:pPr>
        <w:pStyle w:val="radio2"/>
      </w:pPr>
      <w:r>
        <w:t>Não se aplica por outras razões.</w:t>
      </w:r>
    </w:p>
    <w:p w14:paraId="770181C9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FDCEAD7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292A0676" w14:textId="77777777" w:rsidR="00940B5A" w:rsidRDefault="00940B5A" w:rsidP="00940B5A">
      <w:pPr>
        <w:pStyle w:val="itemtipoX"/>
      </w:pPr>
      <w:r>
        <w:t>a) os membros da alta administração da organização são regidos por código de ética e de conduta a eles aplicável</w:t>
      </w:r>
    </w:p>
    <w:p w14:paraId="4C4693DD" w14:textId="77777777" w:rsidR="00940B5A" w:rsidRDefault="00940B5A" w:rsidP="00940B5A">
      <w:pPr>
        <w:pStyle w:val="itemtipoX"/>
      </w:pPr>
      <w:r>
        <w:t>b) os membros da alta administração estão sujeitos ao juízo de comissão ou comitê de ética interno ou externo à organização</w:t>
      </w:r>
    </w:p>
    <w:p w14:paraId="4AA36B90" w14:textId="77777777" w:rsidR="00940B5A" w:rsidRDefault="00940B5A" w:rsidP="00940B5A">
      <w:pPr>
        <w:pStyle w:val="itemtipoX"/>
      </w:pPr>
      <w:r>
        <w:t>c) estão estabelecidos controles para reduzir a ocorrência de desvios éticos e de conduta por parte de membros da alta administração</w:t>
      </w:r>
    </w:p>
    <w:p w14:paraId="7A624AD3" w14:textId="77777777" w:rsidR="00940B5A" w:rsidRDefault="00940B5A" w:rsidP="00940B5A">
      <w:pPr>
        <w:pStyle w:val="itemtipoX"/>
      </w:pPr>
      <w:r>
        <w:t>d) a corregedoria instaurou, nos últimos dois anos, processos para apurar possíveis violações ao código de ética e de conduta por parte de membros da alta administração</w:t>
      </w:r>
    </w:p>
    <w:p w14:paraId="27DD86DA" w14:textId="77777777" w:rsidR="00940B5A" w:rsidRDefault="00940B5A" w:rsidP="00940B5A">
      <w:pPr>
        <w:pStyle w:val="itemtipoX"/>
      </w:pPr>
      <w:r>
        <w:t>e) o código de ética e de conduta disciplina o recebimento de presentes por parte dos membros da alta administração</w:t>
      </w:r>
    </w:p>
    <w:p w14:paraId="788B18F5" w14:textId="77777777" w:rsidR="00940B5A" w:rsidRDefault="00940B5A" w:rsidP="00940B5A">
      <w:pPr>
        <w:pStyle w:val="itemtipoX"/>
      </w:pPr>
      <w:r>
        <w:t>f) o código de ética e de conduta disciplina a participação em eventos externos por parte dos membros da alta administração, quando tais eventos são promovidos pelo setor privado</w:t>
      </w:r>
    </w:p>
    <w:p w14:paraId="0B495EF3" w14:textId="77777777" w:rsidR="00940B5A" w:rsidRDefault="00940B5A" w:rsidP="00940B5A">
      <w:pPr>
        <w:pStyle w:val="itemtipoX"/>
      </w:pPr>
      <w:r>
        <w:t>g) o código de ética e de conduta aplicável aos membros da alta administração estabelece padrões para relacionamento com o setor privado (a exemplo de fornecedores ou setor regulado)</w:t>
      </w:r>
    </w:p>
    <w:p w14:paraId="18CC5224" w14:textId="77777777" w:rsidR="00940B5A" w:rsidRDefault="00940B5A" w:rsidP="00940B5A">
      <w:pPr>
        <w:pStyle w:val="itemtipoX"/>
      </w:pPr>
      <w:r>
        <w:t>h) existem ações concretas de promoção da ética realizadas pelos membros da alta administração</w:t>
      </w:r>
    </w:p>
    <w:p w14:paraId="7177FBF4" w14:textId="77777777" w:rsidR="00940B5A" w:rsidRDefault="00940B5A" w:rsidP="00940B5A">
      <w:pPr>
        <w:pStyle w:val="glossrio"/>
      </w:pPr>
      <w:r>
        <w:t>Para esclarecimentos nesta questão, consulte, no glossário, os seguintes verbetes: Alta Administração; Código de ética e de conduta; Comitê ou comissão de ética; Corregedoria; Estabelecer; Organização.</w:t>
      </w:r>
    </w:p>
    <w:p w14:paraId="76A9850B" w14:textId="77777777" w:rsidR="00BE4C59" w:rsidRDefault="00BE4C59" w:rsidP="00BE4C59">
      <w:pPr>
        <w:pStyle w:val="glossrio"/>
        <w:numPr>
          <w:ilvl w:val="0"/>
          <w:numId w:val="0"/>
        </w:numPr>
        <w:ind w:left="851" w:hanging="284"/>
      </w:pPr>
    </w:p>
    <w:p w14:paraId="44759C37" w14:textId="77777777" w:rsidR="00D173A4" w:rsidRDefault="00D173A4" w:rsidP="00D173A4">
      <w:pPr>
        <w:pStyle w:val="Contexto"/>
      </w:pPr>
      <w:r>
        <w:t>4000. Operações</w:t>
      </w:r>
    </w:p>
    <w:p w14:paraId="6EF6B821" w14:textId="77777777" w:rsidR="00D173A4" w:rsidRDefault="00D173A4" w:rsidP="00D173A4">
      <w:pPr>
        <w:pStyle w:val="Pgina"/>
      </w:pPr>
      <w:r>
        <w:t>4160. Construir e manter ambiente de trabalho ético e favorável</w:t>
      </w:r>
    </w:p>
    <w:p w14:paraId="276E5662" w14:textId="77777777" w:rsidR="00BE4C59" w:rsidRDefault="00BE4C59" w:rsidP="00BE4C59">
      <w:pPr>
        <w:pStyle w:val="Questo"/>
      </w:pPr>
      <w:r>
        <w:t>4162. A organização dispõe de comissão ou comitê interno de ética e conduta. (</w:t>
      </w:r>
      <w:proofErr w:type="gramStart"/>
      <w:r>
        <w:t>tipo</w:t>
      </w:r>
      <w:proofErr w:type="gramEnd"/>
      <w:r>
        <w:t xml:space="preserve"> E)</w:t>
      </w:r>
    </w:p>
    <w:p w14:paraId="4EF4A56C" w14:textId="77777777" w:rsidR="00BE4C59" w:rsidRDefault="00BE4C59" w:rsidP="00BE4C59">
      <w:pPr>
        <w:pStyle w:val="radio"/>
      </w:pPr>
      <w:r>
        <w:t>Não adota</w:t>
      </w:r>
    </w:p>
    <w:p w14:paraId="1A7B0670" w14:textId="77777777" w:rsidR="00BE4C59" w:rsidRDefault="00BE4C59" w:rsidP="00BE4C59">
      <w:pPr>
        <w:pStyle w:val="radio"/>
      </w:pPr>
      <w:r>
        <w:t>Há decisão formal ou plano aprovado para adotá-lo</w:t>
      </w:r>
    </w:p>
    <w:p w14:paraId="7CB2C73B" w14:textId="77777777" w:rsidR="00BE4C59" w:rsidRDefault="00BE4C59" w:rsidP="00BE4C59">
      <w:pPr>
        <w:pStyle w:val="radio"/>
      </w:pPr>
      <w:r>
        <w:t>Adota</w:t>
      </w:r>
    </w:p>
    <w:p w14:paraId="71922CC0" w14:textId="77777777" w:rsidR="00BE4C59" w:rsidRDefault="00BE4C59" w:rsidP="00BE4C59">
      <w:pPr>
        <w:pStyle w:val="evidncia"/>
      </w:pPr>
      <w:r>
        <w:t xml:space="preserve">Indique quais as evidências dessa adoção: </w:t>
      </w:r>
      <w:bookmarkStart w:id="0" w:name="_GoBack"/>
      <w:bookmarkEnd w:id="0"/>
    </w:p>
    <w:p w14:paraId="0FCBA795" w14:textId="77777777" w:rsidR="00BE4C59" w:rsidRDefault="00BE4C59" w:rsidP="00BE4C59">
      <w:pPr>
        <w:pStyle w:val="radio"/>
      </w:pPr>
      <w:r>
        <w:t>Não se aplica</w:t>
      </w:r>
    </w:p>
    <w:p w14:paraId="12E8ACEA" w14:textId="77777777" w:rsidR="00BE4C59" w:rsidRDefault="00BE4C59" w:rsidP="00BE4C59">
      <w:pPr>
        <w:pStyle w:val="radio2"/>
      </w:pPr>
      <w:r>
        <w:t>Não se aplica porque há lei e/ou norma, externa à organização, que impede a implementação desta prática.</w:t>
      </w:r>
    </w:p>
    <w:p w14:paraId="033E3FD0" w14:textId="77777777" w:rsidR="00BE4C59" w:rsidRDefault="00BE4C59" w:rsidP="00BE4C59">
      <w:pPr>
        <w:pStyle w:val="evidncia"/>
      </w:pPr>
      <w:r>
        <w:t xml:space="preserve">Indique que leis e/ou normas são essas: </w:t>
      </w:r>
    </w:p>
    <w:p w14:paraId="0622C7E3" w14:textId="77777777" w:rsidR="00BE4C59" w:rsidRDefault="00BE4C59" w:rsidP="00BE4C59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F5B0137" w14:textId="77777777" w:rsidR="00BE4C59" w:rsidRDefault="00BE4C59" w:rsidP="00BE4C59">
      <w:pPr>
        <w:pStyle w:val="evidncia"/>
      </w:pPr>
      <w:r>
        <w:t xml:space="preserve">Identifique esses estudos: </w:t>
      </w:r>
    </w:p>
    <w:p w14:paraId="614AA330" w14:textId="77777777" w:rsidR="00BE4C59" w:rsidRDefault="00BE4C59" w:rsidP="00BE4C59">
      <w:pPr>
        <w:pStyle w:val="radio2"/>
      </w:pPr>
      <w:r>
        <w:t>Não se aplica por outras razões.</w:t>
      </w:r>
    </w:p>
    <w:p w14:paraId="0763620D" w14:textId="77777777" w:rsidR="00BE4C59" w:rsidRDefault="00BE4C59" w:rsidP="00BE4C59">
      <w:pPr>
        <w:pStyle w:val="evidncia"/>
      </w:pPr>
      <w:r>
        <w:t xml:space="preserve">Explique que razões são essas: </w:t>
      </w:r>
    </w:p>
    <w:p w14:paraId="0AB538A2" w14:textId="77777777" w:rsidR="00BE4C59" w:rsidRDefault="00BE4C59" w:rsidP="00BE4C59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654A6342" w14:textId="77777777" w:rsidR="00BE4C59" w:rsidRDefault="00BE4C59" w:rsidP="00BE4C59">
      <w:pPr>
        <w:pStyle w:val="itemtipoX"/>
      </w:pPr>
      <w:r>
        <w:t>a) há indicação de instância formalmente responsável pelo acompanhamento e gestão da ética</w:t>
      </w:r>
    </w:p>
    <w:p w14:paraId="71CED4F5" w14:textId="77777777" w:rsidR="00BE4C59" w:rsidRDefault="00BE4C59" w:rsidP="00BE4C59">
      <w:pPr>
        <w:pStyle w:val="itemtipoX"/>
      </w:pPr>
      <w:r>
        <w:t>b) os riscos éticos estão identificados e mapeados</w:t>
      </w:r>
    </w:p>
    <w:p w14:paraId="26CCB01E" w14:textId="77777777" w:rsidR="00BE4C59" w:rsidRDefault="00BE4C59" w:rsidP="00BE4C59">
      <w:pPr>
        <w:pStyle w:val="itemtipoX"/>
      </w:pPr>
      <w:r>
        <w:t>c) estão implementadas medidas de monitoramento contínuo do programa de ética</w:t>
      </w:r>
    </w:p>
    <w:p w14:paraId="158D4525" w14:textId="77777777" w:rsidR="00BE4C59" w:rsidRDefault="00BE4C59" w:rsidP="00BE4C59">
      <w:pPr>
        <w:pStyle w:val="glossrio"/>
      </w:pPr>
      <w:r>
        <w:t>Para esclarecimentos nesta questão, consulte, no glossário, os seguintes verbetes: Gestão; Organização; Programa; Risco.</w:t>
      </w:r>
    </w:p>
    <w:p w14:paraId="67A2528A" w14:textId="77777777" w:rsidR="00BE4C59" w:rsidRDefault="00BE4C59" w:rsidP="00BE4C59">
      <w:pPr>
        <w:pStyle w:val="Separador"/>
      </w:pPr>
    </w:p>
    <w:p w14:paraId="25757DF8" w14:textId="77777777" w:rsidR="00BE4C59" w:rsidRDefault="00BE4C59" w:rsidP="00BE4C59">
      <w:pPr>
        <w:pStyle w:val="glossrio"/>
        <w:numPr>
          <w:ilvl w:val="0"/>
          <w:numId w:val="0"/>
        </w:numPr>
        <w:ind w:left="851" w:hanging="284"/>
      </w:pPr>
    </w:p>
    <w:p w14:paraId="2309A76B" w14:textId="77777777" w:rsidR="00940B5A" w:rsidRDefault="00940B5A" w:rsidP="00940B5A">
      <w:pPr>
        <w:pStyle w:val="Separador"/>
      </w:pPr>
    </w:p>
    <w:sectPr w:rsidR="00940B5A" w:rsidSect="000B1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E0C0C" w14:textId="77777777" w:rsidR="00A121BD" w:rsidRDefault="00A121BD" w:rsidP="000B1D2E">
      <w:r>
        <w:separator/>
      </w:r>
    </w:p>
  </w:endnote>
  <w:endnote w:type="continuationSeparator" w:id="0">
    <w:p w14:paraId="09B21DA3" w14:textId="77777777" w:rsidR="00A121BD" w:rsidRDefault="00A121BD" w:rsidP="000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E652" w14:textId="77777777" w:rsidR="00940B5A" w:rsidRDefault="00940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A485D" w14:textId="77777777" w:rsidR="00940B5A" w:rsidRDefault="00940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52E4F" w14:textId="77777777" w:rsidR="00940B5A" w:rsidRDefault="00940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B3170" w14:textId="77777777" w:rsidR="00A121BD" w:rsidRDefault="00A121BD" w:rsidP="000B1D2E">
      <w:r>
        <w:separator/>
      </w:r>
    </w:p>
  </w:footnote>
  <w:footnote w:type="continuationSeparator" w:id="0">
    <w:p w14:paraId="269561F9" w14:textId="77777777" w:rsidR="00A121BD" w:rsidRDefault="00A121BD" w:rsidP="000B1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BDE1" w14:textId="77777777" w:rsidR="00940B5A" w:rsidRDefault="00940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4CF0F" w14:textId="77777777" w:rsidR="00940B5A" w:rsidRPr="000B1D2E" w:rsidRDefault="00940B5A" w:rsidP="000B1D2E">
    <w:pPr>
      <w:pStyle w:val="Cabealho"/>
      <w:ind w:left="1134"/>
      <w:rPr>
        <w:rFonts w:ascii="Arial Black" w:hAnsi="Arial Black"/>
      </w:rPr>
    </w:pPr>
    <w:r w:rsidRPr="000B1D2E">
      <w:rPr>
        <w:rFonts w:ascii="Arial Black" w:hAnsi="Arial Black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C38764" wp14:editId="642DCF7B">
          <wp:simplePos x="0" y="0"/>
          <wp:positionH relativeFrom="column">
            <wp:posOffset>169925</wp:posOffset>
          </wp:positionH>
          <wp:positionV relativeFrom="paragraph">
            <wp:posOffset>26512</wp:posOffset>
          </wp:positionV>
          <wp:extent cx="514985" cy="459740"/>
          <wp:effectExtent l="0" t="0" r="0" b="0"/>
          <wp:wrapNone/>
          <wp:docPr id="9" name="Imagem 1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D2E">
      <w:rPr>
        <w:rFonts w:ascii="Arial Black" w:hAnsi="Arial Black"/>
      </w:rPr>
      <w:t>Tribunal de Contas da União</w:t>
    </w:r>
    <w:r w:rsidRPr="000B1D2E">
      <w:rPr>
        <w:rFonts w:ascii="Arial Black" w:hAnsi="Arial Black"/>
      </w:rPr>
      <w:tab/>
    </w:r>
  </w:p>
  <w:p w14:paraId="6FA8161D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Secretaria de Controle Externo da Administração do Estado</w:t>
    </w:r>
  </w:p>
  <w:p w14:paraId="1E65420F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Perfil de Governança e Gestão Públicas – Ciclo 2018 (</w:t>
    </w:r>
    <w:r w:rsidRPr="000B1D2E">
      <w:t>TC 015.268/2018-7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28FB" w14:textId="77777777" w:rsidR="00940B5A" w:rsidRDefault="00940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764D"/>
    <w:multiLevelType w:val="hybridMultilevel"/>
    <w:tmpl w:val="A7C84CC6"/>
    <w:lvl w:ilvl="0" w:tplc="997A44B4">
      <w:start w:val="1"/>
      <w:numFmt w:val="bullet"/>
      <w:pStyle w:val="radio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153"/>
    <w:multiLevelType w:val="hybridMultilevel"/>
    <w:tmpl w:val="2C4230A6"/>
    <w:lvl w:ilvl="0" w:tplc="7A022848">
      <w:start w:val="1"/>
      <w:numFmt w:val="bullet"/>
      <w:pStyle w:val="glossrio"/>
      <w:lvlText w:val=""/>
      <w:lvlJc w:val="left"/>
      <w:pPr>
        <w:ind w:left="1287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6F5436"/>
    <w:multiLevelType w:val="hybridMultilevel"/>
    <w:tmpl w:val="DC7E8652"/>
    <w:lvl w:ilvl="0" w:tplc="A88204A0">
      <w:start w:val="1"/>
      <w:numFmt w:val="bullet"/>
      <w:pStyle w:val="itemtipoX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C0843"/>
    <w:multiLevelType w:val="hybridMultilevel"/>
    <w:tmpl w:val="83FCE542"/>
    <w:lvl w:ilvl="0" w:tplc="0218BE7E">
      <w:start w:val="1"/>
      <w:numFmt w:val="bullet"/>
      <w:pStyle w:val="evidncia"/>
      <w:lvlText w:val=""/>
      <w:lvlJc w:val="left"/>
      <w:pPr>
        <w:ind w:left="1494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D"/>
    <w:rsid w:val="000B1D2E"/>
    <w:rsid w:val="00134625"/>
    <w:rsid w:val="001B3EA3"/>
    <w:rsid w:val="00372866"/>
    <w:rsid w:val="0043017A"/>
    <w:rsid w:val="004435FA"/>
    <w:rsid w:val="00505A9F"/>
    <w:rsid w:val="00575E26"/>
    <w:rsid w:val="005846AD"/>
    <w:rsid w:val="00603076"/>
    <w:rsid w:val="006A3F6F"/>
    <w:rsid w:val="00702286"/>
    <w:rsid w:val="0074748D"/>
    <w:rsid w:val="0075192D"/>
    <w:rsid w:val="00780183"/>
    <w:rsid w:val="008F506F"/>
    <w:rsid w:val="009224F5"/>
    <w:rsid w:val="00931287"/>
    <w:rsid w:val="00940B5A"/>
    <w:rsid w:val="00A121BD"/>
    <w:rsid w:val="00A977E5"/>
    <w:rsid w:val="00B43BF5"/>
    <w:rsid w:val="00B94805"/>
    <w:rsid w:val="00BE4C59"/>
    <w:rsid w:val="00BF1BE2"/>
    <w:rsid w:val="00BF2133"/>
    <w:rsid w:val="00C27AE0"/>
    <w:rsid w:val="00C87773"/>
    <w:rsid w:val="00D173A4"/>
    <w:rsid w:val="00D33E4A"/>
    <w:rsid w:val="00DD6B4F"/>
    <w:rsid w:val="00DE6D75"/>
    <w:rsid w:val="00E51AD5"/>
    <w:rsid w:val="00E95C90"/>
    <w:rsid w:val="00F4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27871"/>
  <w15:chartTrackingRefBased/>
  <w15:docId w15:val="{96D4E64A-8E5D-4DD5-A001-81DBC6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4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5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1A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A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xto">
    <w:name w:val="#Contexto"/>
    <w:basedOn w:val="Ttulo1"/>
    <w:qFormat/>
    <w:rsid w:val="008F506F"/>
    <w:pPr>
      <w:pBdr>
        <w:top w:val="single" w:sz="4" w:space="1" w:color="auto"/>
      </w:pBdr>
    </w:pPr>
    <w:rPr>
      <w:rFonts w:ascii="Arial Black" w:hAnsi="Arial Black"/>
    </w:rPr>
  </w:style>
  <w:style w:type="character" w:customStyle="1" w:styleId="Ttulo1Char">
    <w:name w:val="Título 1 Char"/>
    <w:basedOn w:val="Fontepargpadro"/>
    <w:link w:val="Ttulo1"/>
    <w:uiPriority w:val="9"/>
    <w:rsid w:val="008F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bjeto">
    <w:name w:val="#Objeto"/>
    <w:basedOn w:val="Ttulo2"/>
    <w:qFormat/>
    <w:rsid w:val="00E51AD5"/>
  </w:style>
  <w:style w:type="paragraph" w:customStyle="1" w:styleId="Pgina">
    <w:name w:val="#Página"/>
    <w:basedOn w:val="Ttulo3"/>
    <w:qFormat/>
    <w:rsid w:val="00E51AD5"/>
  </w:style>
  <w:style w:type="character" w:customStyle="1" w:styleId="Ttulo2Char">
    <w:name w:val="Título 2 Char"/>
    <w:basedOn w:val="Fontepargpadro"/>
    <w:link w:val="Ttulo2"/>
    <w:uiPriority w:val="9"/>
    <w:semiHidden/>
    <w:rsid w:val="00E51A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o">
    <w:name w:val="#Questão"/>
    <w:basedOn w:val="Normal"/>
    <w:qFormat/>
    <w:rsid w:val="00134625"/>
    <w:pPr>
      <w:keepNext/>
      <w:ind w:left="284"/>
      <w:jc w:val="both"/>
    </w:pPr>
    <w:rPr>
      <w:rFonts w:ascii="Arial Narrow" w:hAnsi="Arial Narrow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1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temtipoX">
    <w:name w:val="#itemtipoX"/>
    <w:basedOn w:val="Normal"/>
    <w:qFormat/>
    <w:rsid w:val="00134625"/>
    <w:pPr>
      <w:keepNext/>
      <w:numPr>
        <w:numId w:val="1"/>
      </w:numPr>
      <w:ind w:left="851" w:hanging="284"/>
    </w:pPr>
    <w:rPr>
      <w:rFonts w:ascii="Arial Narrow" w:hAnsi="Arial Narrow"/>
      <w:sz w:val="20"/>
    </w:rPr>
  </w:style>
  <w:style w:type="paragraph" w:customStyle="1" w:styleId="radio">
    <w:name w:val="#radio"/>
    <w:basedOn w:val="Normal"/>
    <w:qFormat/>
    <w:rsid w:val="00134625"/>
    <w:pPr>
      <w:keepNext/>
      <w:numPr>
        <w:numId w:val="2"/>
      </w:numPr>
      <w:ind w:left="851" w:hanging="284"/>
      <w:jc w:val="both"/>
    </w:pPr>
    <w:rPr>
      <w:rFonts w:ascii="Arial Narrow" w:hAnsi="Arial Narrow"/>
      <w:sz w:val="20"/>
    </w:rPr>
  </w:style>
  <w:style w:type="paragraph" w:customStyle="1" w:styleId="aberturaitemX">
    <w:name w:val="#aberturaitemX"/>
    <w:basedOn w:val="Normal"/>
    <w:qFormat/>
    <w:rsid w:val="00134625"/>
    <w:pPr>
      <w:keepNext/>
      <w:spacing w:before="120"/>
      <w:ind w:left="567"/>
      <w:jc w:val="both"/>
    </w:pPr>
    <w:rPr>
      <w:rFonts w:ascii="Arial Narrow" w:hAnsi="Arial Narrow"/>
      <w:sz w:val="20"/>
    </w:rPr>
  </w:style>
  <w:style w:type="paragraph" w:customStyle="1" w:styleId="Separador">
    <w:name w:val="#Separador"/>
    <w:basedOn w:val="Normal"/>
    <w:qFormat/>
    <w:rsid w:val="00702286"/>
    <w:rPr>
      <w:rFonts w:ascii="Arial Narrow" w:hAnsi="Arial Narrow"/>
      <w:sz w:val="24"/>
    </w:rPr>
  </w:style>
  <w:style w:type="paragraph" w:customStyle="1" w:styleId="radio2">
    <w:name w:val="#radio2"/>
    <w:basedOn w:val="radio"/>
    <w:qFormat/>
    <w:rsid w:val="006A3F6F"/>
    <w:pPr>
      <w:ind w:left="1135"/>
    </w:pPr>
    <w:rPr>
      <w:color w:val="A6A6A6" w:themeColor="background1" w:themeShade="A6"/>
      <w:sz w:val="16"/>
    </w:rPr>
  </w:style>
  <w:style w:type="paragraph" w:customStyle="1" w:styleId="evidncia">
    <w:name w:val="#evidência"/>
    <w:basedOn w:val="radio"/>
    <w:qFormat/>
    <w:rsid w:val="00DD6B4F"/>
    <w:pPr>
      <w:numPr>
        <w:numId w:val="3"/>
      </w:numPr>
    </w:pPr>
    <w:rPr>
      <w:color w:val="D9D9D9" w:themeColor="background1" w:themeShade="D9"/>
      <w:sz w:val="16"/>
    </w:rPr>
  </w:style>
  <w:style w:type="paragraph" w:customStyle="1" w:styleId="glossrio">
    <w:name w:val="#glossário"/>
    <w:basedOn w:val="radio"/>
    <w:qFormat/>
    <w:rsid w:val="00372866"/>
    <w:pPr>
      <w:numPr>
        <w:numId w:val="4"/>
      </w:numPr>
      <w:ind w:left="851" w:hanging="284"/>
    </w:pPr>
    <w:rPr>
      <w:color w:val="70AD47" w:themeColor="accent6"/>
    </w:rPr>
  </w:style>
  <w:style w:type="paragraph" w:styleId="Cabealho">
    <w:name w:val="header"/>
    <w:basedOn w:val="Normal"/>
    <w:link w:val="Cabealho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D2E"/>
  </w:style>
  <w:style w:type="paragraph" w:styleId="Rodap">
    <w:name w:val="footer"/>
    <w:basedOn w:val="Normal"/>
    <w:link w:val="Rodap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Cruz</dc:creator>
  <cp:keywords/>
  <dc:description/>
  <cp:lastModifiedBy>DINFI-06</cp:lastModifiedBy>
  <cp:revision>3</cp:revision>
  <cp:lastPrinted>2018-06-05T02:26:00Z</cp:lastPrinted>
  <dcterms:created xsi:type="dcterms:W3CDTF">2018-06-11T13:28:00Z</dcterms:created>
  <dcterms:modified xsi:type="dcterms:W3CDTF">2018-06-11T13:28:00Z</dcterms:modified>
</cp:coreProperties>
</file>